
<file path=[Content_Types].xml><?xml version="1.0" encoding="utf-8"?>
<Types xmlns="http://schemas.openxmlformats.org/package/2006/content-types"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Default Extension="rels" ContentType="application/vnd.openxmlformats-package.relationships+xml"/>
  <Default Extension="xml" ContentType="application/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spacing w:after="0"/>
      </w:pPr>
      <w:r>
        <w:rPr>
          <w:rFonts w:ascii="Times New Roman"/>
        </w:rPr>
        <w:t>[Appendix]</w:t>
      </w:r>
      <w:r>
        <w:rPr/>
        <w:t xml:space="preserve"> </w:t>
      </w:r>
    </w:p>
    <w:p>
      <w:pPr>
        <w:pStyle w:val="0"/>
        <w:widowControl w:val="off"/>
        <w:spacing w:before="240" w:after="720"/>
        <w:jc w:val="center"/>
      </w:pPr>
      <w:r>
        <w:rPr>
          <w:rFonts w:ascii="Times New Roman"/>
          <w:b/>
          <w:sz w:val="30"/>
          <w:shd w:val="clear" w:color="000000" w:fill="ffffff"/>
        </w:rPr>
        <w:t>Article 9 (Disqualifications of Officers) of the Articles of Incorporation of IBS</w:t>
      </w:r>
    </w:p>
    <w:tbl>
      <w:tblPr>
        <w:tblOverlap w:val="never"/>
        <w:tblW w:w="10664" w:type="dxa"/>
        <w:tblBorders>
          <w:top w:val="single" w:color="0a0000" w:sz="11"/>
          <w:left w:val="single" w:color="0a0000" w:sz="11"/>
          <w:bottom w:val="single" w:color="0a0000" w:sz="11"/>
          <w:right w:val="single" w:color="0a0000" w:sz="11"/>
        </w:tblBorders>
        <w:shd w:val="clear" w:color="000000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4"/>
      </w:tblGrid>
      <w:tr>
        <w:trPr>
          <w:trHeight w:val="0"/>
        </w:trPr>
        <w:tc>
          <w:tcPr>
            <w:tcW w:w="10664" w:type="dxa"/>
            <w:tcBorders>
              <w:top w:val="single" w:color="0a0000" w:sz="11"/>
              <w:left w:val="single" w:color="0a0000" w:sz="11"/>
              <w:bottom w:val="single" w:color="0a0000" w:sz="11"/>
              <w:right w:val="single" w:color="0a0000" w:sz="11"/>
            </w:tcBorders>
            <w:vAlign w:val="top"/>
          </w:tcPr>
          <w:p>
            <w:pPr>
              <w:pStyle w:val="0"/>
              <w:widowControl w:val="off"/>
              <w:spacing w:after="0" w:line="360"/>
            </w:pPr>
            <w:r>
              <w:rPr>
                <w:rFonts w:ascii="Times New Roman"/>
                <w:b/>
                <w:sz w:val="24"/>
                <w:shd w:val="clear" w:color="000000" w:fill="ffffff"/>
              </w:rPr>
              <w:t>Article 9 (Disqualifications of Officers)</w:t>
            </w:r>
            <w:r>
              <w:rPr>
                <w:rFonts w:ascii="바탕"/>
                <w:sz w:val="22"/>
                <w:shd w:val="clear" w:color="000000" w:fill="ffffff"/>
              </w:rPr>
              <w:t xml:space="preserve"> </w:t>
            </w:r>
            <w:r>
              <w:rPr>
                <w:rFonts w:ascii="바탕"/>
                <w:sz w:val="22"/>
                <w:shd w:val="clear" w:color="000000" w:fill="ffffff"/>
              </w:rPr>
              <w:t>①</w:t>
            </w:r>
            <w:r>
              <w:rPr>
                <w:rFonts w:ascii="바탕"/>
                <w:sz w:val="22"/>
                <w:shd w:val="clear" w:color="000000" w:fill="ffffff"/>
              </w:rPr>
              <w:t xml:space="preserve"> </w:t>
            </w:r>
            <w:r>
              <w:rPr>
                <w:rFonts w:ascii="Times New Roman"/>
                <w:sz w:val="22"/>
                <w:shd w:val="clear" w:color="000000" w:fill="ffffff"/>
              </w:rPr>
              <w:t xml:space="preserve">A </w:t>
            </w:r>
            <w:r>
              <w:rPr>
                <w:rFonts w:ascii="Times New Roman"/>
                <w:sz w:val="24"/>
                <w:shd w:val="clear" w:color="000000" w:fill="ffffff"/>
              </w:rPr>
              <w:t>person who falls under any of the following subparagraphs shall be disqualified from being appointed as an IBS officer.</w:t>
            </w:r>
          </w:p>
          <w:p>
            <w:pPr>
              <w:pStyle w:val="0"/>
              <w:widowControl w:val="off"/>
              <w:wordWrap w:val="1"/>
              <w:spacing w:after="0" w:line="360"/>
              <w:ind w:left="577" w:hanging="400"/>
              <w:jc w:val="left"/>
              <w:numPr>
                <w:numId w:val="10"/>
                <w:ilvl w:val="0"/>
              </w:numPr>
            </w:pPr>
            <w:r>
              <w:rPr>
                <w:rFonts w:ascii="Times New Roman"/>
                <w:sz w:val="24"/>
                <w:shd w:val="clear" w:color="000000" w:fill="ffffff"/>
              </w:rPr>
              <w:t>A person to whom any subparagraph of Article 33 of the State Public Officials Act applies</w:t>
            </w:r>
          </w:p>
          <w:p>
            <w:pPr>
              <w:pStyle w:val="0"/>
              <w:widowControl w:val="off"/>
              <w:wordWrap w:val="1"/>
              <w:spacing w:after="0" w:line="360"/>
              <w:ind w:left="577" w:hanging="400"/>
              <w:jc w:val="left"/>
              <w:numPr>
                <w:numId w:val="10"/>
                <w:ilvl w:val="0"/>
              </w:numPr>
            </w:pPr>
            <w:r>
              <w:rPr>
                <w:rFonts w:ascii="Times New Roman"/>
                <w:sz w:val="24"/>
                <w:shd w:val="clear" w:color="000000" w:fill="ffffff"/>
              </w:rPr>
              <w:t xml:space="preserve">A person for whom three years has not passed since being dismissed from an IBS officer position </w:t>
            </w:r>
          </w:p>
        </w:tc>
      </w:tr>
    </w:tbl>
    <w:p>
      <w:pPr>
        <w:pStyle w:val="0"/>
        <w:widowControl w:val="off"/>
        <w:spacing w:after="0"/>
      </w:pPr>
    </w:p>
    <w:tbl>
      <w:tblPr>
        <w:tblOverlap w:val="never"/>
        <w:tblW w:w="10664" w:type="dxa"/>
        <w:tblBorders>
          <w:top w:val="single" w:color="0a0000" w:sz="3"/>
          <w:left w:val="single" w:color="0a0000" w:sz="3"/>
          <w:bottom w:val="single" w:color="0a0000" w:sz="3"/>
          <w:right w:val="single" w:color="0a0000" w:sz="3"/>
        </w:tblBorders>
        <w:shd w:val="clear" w:color="000000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4"/>
      </w:tblGrid>
      <w:tr>
        <w:trPr>
          <w:trHeight w:val="0"/>
        </w:trPr>
        <w:tc>
          <w:tcPr>
            <w:tcW w:w="10664" w:type="dxa"/>
            <w:tcBorders>
              <w:top w:val="dashSmallGap" w:color="0a0000" w:sz="3"/>
              <w:left w:val="dashSmallGap" w:color="0a0000" w:sz="3"/>
              <w:bottom w:val="dashSmallGap" w:color="0a0000" w:sz="3"/>
              <w:right w:val="dashSmallGap" w:color="0a0000" w:sz="3"/>
            </w:tcBorders>
            <w:vAlign w:val="top"/>
          </w:tcPr>
          <w:p>
            <w:pPr>
              <w:pStyle w:val="0"/>
              <w:widowControl w:val="off"/>
              <w:spacing w:before="240" w:after="0" w:line="360"/>
            </w:pPr>
            <w:r>
              <w:rPr>
                <w:rFonts w:ascii="Times New Roman"/>
                <w:b/>
                <w:sz w:val="24"/>
              </w:rPr>
              <w:t xml:space="preserve">Article 33 (Grounds for Disqualification) of the State Public Officials Act </w:t>
            </w:r>
          </w:p>
          <w:p>
            <w:pPr>
              <w:pStyle w:val="0"/>
              <w:widowControl w:val="off"/>
              <w:spacing w:after="0" w:line="360"/>
            </w:pPr>
            <w:r>
              <w:rPr>
                <w:rFonts w:ascii="Times New Roman"/>
                <w:sz w:val="24"/>
              </w:rPr>
              <w:t>No person who falls under any of the following subparagraphs shall be appointed as a public official:</w:t>
            </w:r>
          </w:p>
          <w:p>
            <w:pPr>
              <w:pStyle w:val="5"/>
              <w:widowControl w:val="off"/>
              <w:spacing w:after="0" w:line="360"/>
              <w:ind w:left="800" w:hanging="400"/>
              <w:numPr>
                <w:numId w:val="11"/>
                <w:ilvl w:val="0"/>
              </w:numPr>
            </w:pPr>
            <w:r>
              <w:rPr>
                <w:rFonts w:ascii="Times New Roman"/>
                <w:sz w:val="24"/>
              </w:rPr>
              <w:t>An incompetent or quasi-incompetent;</w:t>
            </w:r>
          </w:p>
          <w:p>
            <w:pPr>
              <w:pStyle w:val="5"/>
              <w:widowControl w:val="off"/>
              <w:spacing w:after="0" w:line="360"/>
              <w:ind w:left="800" w:hanging="400"/>
              <w:numPr>
                <w:numId w:val="11"/>
                <w:ilvl w:val="0"/>
              </w:numPr>
            </w:pPr>
            <w:r>
              <w:rPr>
                <w:rFonts w:ascii="Times New Roman"/>
                <w:sz w:val="24"/>
              </w:rPr>
              <w:t>A person who was declared bankrupt and has not yet been reinstated;</w:t>
            </w:r>
          </w:p>
          <w:p>
            <w:pPr>
              <w:pStyle w:val="5"/>
              <w:widowControl w:val="off"/>
              <w:spacing w:after="0" w:line="360"/>
              <w:ind w:left="800" w:hanging="400"/>
              <w:numPr>
                <w:numId w:val="11"/>
                <w:ilvl w:val="0"/>
              </w:numPr>
            </w:pPr>
            <w:r>
              <w:rPr>
                <w:rFonts w:ascii="Times New Roman"/>
                <w:sz w:val="24"/>
              </w:rPr>
              <w:t>A person in whose case five years have not passed since his/her imprisonment without prison labor or a heavier punishment as declared by a court was completely executed or exempted;</w:t>
            </w:r>
          </w:p>
          <w:p>
            <w:pPr>
              <w:pStyle w:val="5"/>
              <w:widowControl w:val="off"/>
              <w:spacing w:after="0" w:line="360"/>
              <w:ind w:left="800" w:hanging="400"/>
              <w:numPr>
                <w:numId w:val="11"/>
                <w:ilvl w:val="0"/>
              </w:numPr>
            </w:pPr>
            <w:r>
              <w:rPr>
                <w:rFonts w:ascii="Times New Roman"/>
                <w:sz w:val="24"/>
              </w:rPr>
              <w:t>A person who was sentenced by the suspension of the execution of imprisonment without prison labor or a heavier punishment and for whom two years have not passed since the period of suspension expired;</w:t>
            </w:r>
          </w:p>
          <w:p>
            <w:pPr>
              <w:pStyle w:val="5"/>
              <w:widowControl w:val="off"/>
              <w:spacing w:after="0" w:line="360"/>
              <w:ind w:left="800" w:hanging="400"/>
              <w:numPr>
                <w:numId w:val="11"/>
                <w:ilvl w:val="0"/>
              </w:numPr>
            </w:pPr>
            <w:r>
              <w:rPr>
                <w:rFonts w:ascii="Times New Roman"/>
                <w:sz w:val="24"/>
              </w:rPr>
              <w:t>A person who is under a suspended sentence of imprisonment without prison labor or a heavier punishment as declared by a court;</w:t>
            </w:r>
          </w:p>
          <w:p>
            <w:pPr>
              <w:pStyle w:val="5"/>
              <w:widowControl w:val="off"/>
              <w:spacing w:after="0" w:line="360"/>
              <w:ind w:left="800" w:hanging="400"/>
              <w:numPr>
                <w:numId w:val="11"/>
                <w:ilvl w:val="0"/>
              </w:numPr>
            </w:pPr>
            <w:r>
              <w:rPr>
                <w:rFonts w:ascii="Times New Roman"/>
                <w:sz w:val="24"/>
              </w:rPr>
              <w:t>A person who is disqualified, or whose qualification is suspended, pursuant to a judgment of the court or other Acts;</w:t>
            </w:r>
          </w:p>
          <w:p>
            <w:pPr>
              <w:pStyle w:val="0"/>
              <w:widowControl w:val="off"/>
              <w:spacing w:after="0" w:line="360"/>
              <w:ind w:left="778" w:hanging="352"/>
            </w:pPr>
            <w:r>
              <w:rPr>
                <w:rFonts w:ascii="Times New Roman"/>
                <w:sz w:val="24"/>
              </w:rPr>
              <w:t>6-2. A person who had committed a crime prescribed in Articles 355 and 356 of the Criminal Act with regard to his/her duty during the period of service as public official, and for whom two years have not passed from the time punishment became final and conclusive after being sentenced to a fine not less than three million won;</w:t>
            </w:r>
          </w:p>
          <w:p>
            <w:pPr>
              <w:pStyle w:val="5"/>
              <w:widowControl w:val="off"/>
              <w:spacing w:after="0" w:line="360"/>
              <w:ind w:left="800" w:hanging="400"/>
              <w:numPr>
                <w:numId w:val="11"/>
                <w:ilvl w:val="0"/>
              </w:numPr>
            </w:pPr>
            <w:r>
              <w:rPr>
                <w:rFonts w:ascii="Times New Roman"/>
                <w:sz w:val="24"/>
              </w:rPr>
              <w:t>A person who was removed from office by a disciplinary action, and for whom five years have not passed thereafter;</w:t>
            </w:r>
          </w:p>
          <w:p>
            <w:pPr>
              <w:pStyle w:val="5"/>
              <w:widowControl w:val="off"/>
              <w:spacing w:after="0" w:line="360"/>
              <w:ind w:left="800" w:hanging="400"/>
              <w:numPr>
                <w:numId w:val="11"/>
                <w:ilvl w:val="0"/>
              </w:numPr>
            </w:pPr>
            <w:r>
              <w:rPr>
                <w:rFonts w:ascii="Times New Roman"/>
                <w:sz w:val="24"/>
              </w:rPr>
              <w:t>A person who was dismissed by a disciplinary action, and for whom three years have not passed thereafter.</w:t>
            </w:r>
          </w:p>
        </w:tc>
      </w:tr>
    </w:tbl>
    <w:p>
      <w:pPr>
        <w:pStyle w:val="0"/>
        <w:widowControl w:val="off"/>
        <w:spacing w:after="0"/>
      </w:pPr>
    </w:p>
    <w:sectPr>
      <w:footnotePr>
        <w:numFmt w:val="decimal"/>
        <w:numRestart w:val="continuous"/>
      </w:footnotePr>
      <w:endnotePr>
        <w:pos w:val="docEnd"/>
        <w:numFmt w:val="lowerRoman"/>
        <w:numRestart w:val="continuous"/>
      </w:endnotePr>
      <w:pgSz w:w="11906" w:h="16838"/>
      <w:pgMar w:top="720" w:right="720" w:bottom="720" w:left="720" w:header="851" w:footer="992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10">
    <w:multiLevelType w:val="multilevel"/>
    <w:lvl w:ilvl="0">
      <w:start w:val="1"/>
      <w:numFmt w:val="decimal"/>
      <w:suff w:val="tab"/>
      <w:lvlText w:val="%1."/>
      <w:lvlJc w:val="left"/>
      <w:rPr>
        <w:rFonts w:ascii="Times New Roman" w:hAnsi="Times New Roman" w:eastAsia="바탕체"/>
        <w:color w:val="000000"/>
        <w:sz w:val="20"/>
      </w:rPr>
    </w:lvl>
    <w:lvl w:ilvl="1">
      <w:start w:val="1"/>
      <w:numFmt w:val="upperLetter"/>
      <w:suff w:val="tab"/>
      <w:lvlText w:val="%2."/>
      <w:lvlJc w:val="left"/>
      <w:rPr>
        <w:rFonts w:ascii="Times New Roman" w:hAnsi="Times New Roman" w:eastAsia="Arial Unicode MS"/>
        <w:color w:val="000000"/>
        <w:sz w:val="24"/>
        <w:shd w:val="clear" w:color="000000" w:fill="ffffff"/>
      </w:rPr>
    </w:lvl>
    <w:lvl w:ilvl="2">
      <w:start w:val="1"/>
      <w:numFmt w:val="lowerRoman"/>
      <w:suff w:val="tab"/>
      <w:lvlText w:val="%3."/>
      <w:lvlJc w:val="right"/>
      <w:rPr>
        <w:rFonts w:ascii="Times New Roman" w:hAnsi="Times New Roman" w:eastAsia="Arial Unicode MS"/>
        <w:color w:val="000000"/>
        <w:sz w:val="24"/>
        <w:shd w:val="clear" w:color="000000" w:fill="ffffff"/>
      </w:rPr>
    </w:lvl>
    <w:lvl w:ilvl="3">
      <w:start w:val="1"/>
      <w:numFmt w:val="decimal"/>
      <w:suff w:val="tab"/>
      <w:lvlText w:val="%4."/>
      <w:lvlJc w:val="left"/>
      <w:rPr>
        <w:rFonts w:ascii="Times New Roman" w:hAnsi="Times New Roman" w:eastAsia="Arial Unicode MS"/>
        <w:color w:val="000000"/>
        <w:sz w:val="24"/>
        <w:shd w:val="clear" w:color="000000" w:fill="ffffff"/>
      </w:rPr>
    </w:lvl>
    <w:lvl w:ilvl="4">
      <w:start w:val="1"/>
      <w:numFmt w:val="upperLetter"/>
      <w:suff w:val="tab"/>
      <w:lvlText w:val="%5."/>
      <w:lvlJc w:val="left"/>
      <w:rPr>
        <w:rFonts w:ascii="Times New Roman" w:hAnsi="Times New Roman" w:eastAsia="Arial Unicode MS"/>
        <w:color w:val="000000"/>
        <w:sz w:val="24"/>
        <w:shd w:val="clear" w:color="000000" w:fill="ffffff"/>
      </w:rPr>
    </w:lvl>
    <w:lvl w:ilvl="5">
      <w:start w:val="1"/>
      <w:numFmt w:val="lowerRoman"/>
      <w:suff w:val="tab"/>
      <w:lvlText w:val="%6."/>
      <w:lvlJc w:val="right"/>
      <w:rPr>
        <w:rFonts w:ascii="Times New Roman" w:hAnsi="Times New Roman" w:eastAsia="Arial Unicode MS"/>
        <w:color w:val="000000"/>
        <w:sz w:val="24"/>
        <w:shd w:val="clear" w:color="000000" w:fill="ffffff"/>
      </w:rPr>
    </w:lvl>
    <w:lvl w:ilvl="6">
      <w:start w:val="1"/>
      <w:numFmt w:val="decimal"/>
      <w:suff w:val="tab"/>
      <w:lvlText w:val="%7."/>
      <w:lvlJc w:val="left"/>
      <w:rPr>
        <w:rFonts w:ascii="Times New Roman" w:hAnsi="Times New Roman" w:eastAsia="Arial Unicode MS"/>
        <w:color w:val="000000"/>
        <w:sz w:val="24"/>
        <w:shd w:val="clear" w:color="000000" w:fill="ffffff"/>
      </w:rPr>
    </w:lvl>
  </w:abstractNum>
  <w:abstractNum w:abstractNumId="11">
    <w:multiLevelType w:val="multilevel"/>
    <w:lvl w:ilvl="0">
      <w:start w:val="1"/>
      <w:numFmt w:val="decimal"/>
      <w:suff w:val="tab"/>
      <w:lvlText w:val="%1."/>
      <w:lvlJc w:val="left"/>
      <w:rPr>
        <w:rFonts w:ascii="Times New Roman" w:hAnsi="Times New Roman"/>
        <w:color w:val="000000"/>
        <w:sz w:val="24"/>
      </w:rPr>
    </w:lvl>
    <w:lvl w:ilvl="1">
      <w:start w:val="1"/>
      <w:numFmt w:val="upperLetter"/>
      <w:suff w:val="tab"/>
      <w:lvlText w:val="%2."/>
      <w:lvlJc w:val="left"/>
      <w:rPr>
        <w:rFonts w:ascii="Times New Roman" w:hAnsi="Times New Roman"/>
        <w:color w:val="000000"/>
        <w:sz w:val="24"/>
      </w:rPr>
    </w:lvl>
    <w:lvl w:ilvl="2">
      <w:start w:val="1"/>
      <w:numFmt w:val="lowerRoman"/>
      <w:suff w:val="tab"/>
      <w:lvlText w:val="%3."/>
      <w:lvlJc w:val="right"/>
      <w:rPr>
        <w:rFonts w:ascii="Times New Roman" w:hAnsi="Times New Roman"/>
        <w:color w:val="000000"/>
        <w:sz w:val="24"/>
      </w:rPr>
    </w:lvl>
    <w:lvl w:ilvl="3">
      <w:start w:val="1"/>
      <w:numFmt w:val="decimal"/>
      <w:suff w:val="tab"/>
      <w:lvlText w:val="%4."/>
      <w:lvlJc w:val="left"/>
      <w:rPr>
        <w:rFonts w:ascii="Times New Roman" w:hAnsi="Times New Roman"/>
        <w:color w:val="000000"/>
        <w:sz w:val="24"/>
      </w:rPr>
    </w:lvl>
    <w:lvl w:ilvl="4">
      <w:start w:val="1"/>
      <w:numFmt w:val="upperLetter"/>
      <w:suff w:val="tab"/>
      <w:lvlText w:val="%5."/>
      <w:lvlJc w:val="left"/>
      <w:rPr>
        <w:rFonts w:ascii="Times New Roman" w:hAnsi="Times New Roman"/>
        <w:color w:val="000000"/>
        <w:sz w:val="24"/>
      </w:rPr>
    </w:lvl>
    <w:lvl w:ilvl="5">
      <w:start w:val="1"/>
      <w:numFmt w:val="lowerRoman"/>
      <w:suff w:val="tab"/>
      <w:lvlText w:val="%6."/>
      <w:lvlJc w:val="right"/>
      <w:rPr>
        <w:rFonts w:ascii="Times New Roman" w:hAnsi="Times New Roman"/>
        <w:color w:val="000000"/>
        <w:sz w:val="24"/>
      </w:rPr>
    </w:lvl>
    <w:lvl w:ilvl="6">
      <w:start w:val="1"/>
      <w:numFmt w:val="decimal"/>
      <w:suff w:val="tab"/>
      <w:lvlText w:val="%7."/>
      <w:lvlJc w:val="left"/>
      <w:rPr>
        <w:rFonts w:ascii="Times New Roman" w:hAnsi="Times New Roman"/>
        <w:color w:val="000000"/>
        <w:sz w:val="24"/>
      </w:rPr>
    </w:lvl>
  </w:abstractNum>
  <w:abstractNum w:abstractNumId="212">
    <w:multiLevelType w:val="multilevel"/>
    <w:lvl w:ilvl="0">
      <w:start w:val="2"/>
      <w:numFmt w:val="decimalEnclosedCircle"/>
      <w:suff w:val="tab"/>
      <w:lvlText w:val="%1"/>
      <w:lvlJc w:val="left"/>
      <w:pStyle w:val="12"/>
      <w:rPr>
        <w:rFonts w:ascii="Times New Roman" w:hAnsi="Times New Roman" w:eastAsia="바탕체"/>
        <w:color w:val="000000"/>
        <w:sz w:val="22"/>
      </w:rPr>
    </w:lvl>
    <w:lvl w:ilvl="1">
      <w:start w:val="1"/>
      <w:numFmt w:val="upperLetter"/>
      <w:suff w:val="tab"/>
      <w:lvlText w:val="%2."/>
      <w:lvlJc w:val="left"/>
    </w:lvl>
    <w:lvl w:ilvl="2">
      <w:start w:val="1"/>
      <w:numFmt w:val="lowerRoman"/>
      <w:suff w:val="tab"/>
      <w:lvlText w:val="%3."/>
      <w:lvlJc w:val="right"/>
    </w:lvl>
    <w:lvl w:ilvl="3">
      <w:start w:val="1"/>
      <w:numFmt w:val="decimal"/>
      <w:suff w:val="tab"/>
      <w:lvlText w:val="%4."/>
      <w:lvlJc w:val="left"/>
    </w:lvl>
    <w:lvl w:ilvl="4">
      <w:start w:val="1"/>
      <w:numFmt w:val="upperLetter"/>
      <w:suff w:val="tab"/>
      <w:lvlText w:val="%5."/>
      <w:lvlJc w:val="left"/>
    </w:lvl>
    <w:lvl w:ilvl="5">
      <w:start w:val="1"/>
      <w:numFmt w:val="lowerRoman"/>
      <w:suff w:val="tab"/>
      <w:lvlText w:val="%6."/>
      <w:lvlJc w:val="right"/>
    </w:lvl>
    <w:lvl w:ilvl="6">
      <w:start w:val="1"/>
      <w:numFmt w:val="decimal"/>
      <w:suff w:val="tab"/>
      <w:lvlText w:val="%7."/>
      <w:lvlJc w:val="left"/>
    </w:lvl>
  </w:abstractNum>
  <w:abstractNum w:abstractNumId="213">
    <w:multiLevelType w:val="multilevel"/>
    <w:lvl w:ilvl="0">
      <w:start w:val="1"/>
      <w:numFmt w:val="decimal"/>
      <w:suff w:val="tab"/>
      <w:lvlText w:val="%1."/>
      <w:lvlJc w:val="left"/>
      <w:pStyle w:val="13"/>
      <w:rPr>
        <w:rFonts w:ascii="Times New Roman" w:hAnsi="Times New Roman" w:eastAsia="바탕체"/>
        <w:color w:val="000000"/>
        <w:sz w:val="20"/>
      </w:rPr>
    </w:lvl>
    <w:lvl w:ilvl="1">
      <w:start w:val="1"/>
      <w:numFmt w:val="upperLetter"/>
      <w:suff w:val="tab"/>
      <w:lvlText w:val="%2."/>
      <w:lvlJc w:val="left"/>
    </w:lvl>
    <w:lvl w:ilvl="2">
      <w:start w:val="1"/>
      <w:numFmt w:val="lowerRoman"/>
      <w:suff w:val="tab"/>
      <w:lvlText w:val="%3."/>
      <w:lvlJc w:val="right"/>
    </w:lvl>
    <w:lvl w:ilvl="3">
      <w:start w:val="1"/>
      <w:numFmt w:val="decimal"/>
      <w:suff w:val="tab"/>
      <w:lvlText w:val="%4."/>
      <w:lvlJc w:val="left"/>
    </w:lvl>
    <w:lvl w:ilvl="4">
      <w:start w:val="1"/>
      <w:numFmt w:val="upperLetter"/>
      <w:suff w:val="tab"/>
      <w:lvlText w:val="%5."/>
      <w:lvlJc w:val="left"/>
    </w:lvl>
    <w:lvl w:ilvl="5">
      <w:start w:val="1"/>
      <w:numFmt w:val="lowerRoman"/>
      <w:suff w:val="tab"/>
      <w:lvlText w:val="%6."/>
      <w:lvlJc w:val="right"/>
    </w:lvl>
    <w:lvl w:ilvl="6">
      <w:start w:val="1"/>
      <w:numFmt w:val="decimal"/>
      <w:suff w:val="tab"/>
      <w:lvlText w:val="%7."/>
      <w:lvlJc w:val="left"/>
    </w:lvl>
  </w:abstractNum>
  <w:num w:numId="10">
    <w:abstractNumId w:val="10"/>
  </w:num>
  <w:num w:numId="11">
    <w:abstractNumId w:val="11"/>
  </w:num>
  <w:num w:numId="212">
    <w:abstractNumId w:val="212"/>
  </w:num>
  <w:num w:numId="213">
    <w:abstractNumId w:val="213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Normal"/>
    <w:uiPriority w:val="0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200" w:line="27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1">
    <w:name w:val="Balloon Text"/>
    <w:uiPriority w:val="1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18"/>
    </w:rPr>
  </w:style>
  <w:style w:type="character" w:styleId="2">
    <w:name w:val="Default Paragraph Font"/>
    <w:uiPriority w:val="2"/>
    <w:rPr>
      <w:rFonts w:ascii="맑은 고딕" w:eastAsia="맑은 고딕"/>
      <w:color w:val="000000"/>
      <w:kern w:val="1"/>
      <w:sz w:val="20"/>
    </w:rPr>
  </w:style>
  <w:style w:type="character" w:styleId="3">
    <w:name w:val="Hyperlink"/>
    <w:uiPriority w:val="3"/>
    <w:rPr>
      <w:rFonts w:ascii="맑은 고딕" w:eastAsia="맑은 고딕"/>
      <w:color w:val="0000ff"/>
      <w:kern w:val="1"/>
      <w:sz w:val="20"/>
      <w:u w:val="single" w:color="0000ff"/>
    </w:rPr>
  </w:style>
  <w:style w:type="character" w:styleId="4">
    <w:name w:val="Intense Emphasis"/>
    <w:uiPriority w:val="4"/>
    <w:rPr>
      <w:rFonts w:ascii="맑은 고딕" w:eastAsia="맑은 고딕"/>
      <w:b/>
      <w:i/>
      <w:color w:val="4f81bd"/>
      <w:kern w:val="1"/>
      <w:sz w:val="20"/>
    </w:rPr>
  </w:style>
  <w:style w:type="paragraph" w:styleId="5">
    <w:name w:val="List Paragraph"/>
    <w:uiPriority w:val="5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200" w:line="276" w:lineRule="auto"/>
      <w:ind w:left="80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6">
    <w:name w:val="No List"/>
    <w:uiPriority w:val="6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1"/>
      <w:autoSpaceDE/>
      <w:autoSpaceDN/>
      <w:snapToGrid/>
      <w:spacing w:before="0" w:after="200" w:line="27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character" w:styleId="7">
    <w:name w:val="annotation reference"/>
    <w:uiPriority w:val="7"/>
    <w:rPr>
      <w:rFonts w:ascii="맑은 고딕" w:eastAsia="맑은 고딕"/>
      <w:color w:val="000000"/>
      <w:kern w:val="1"/>
      <w:sz w:val="18"/>
    </w:rPr>
  </w:style>
  <w:style w:type="paragraph" w:styleId="8">
    <w:name w:val="annotation subject"/>
    <w:uiPriority w:val="8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200" w:line="276" w:lineRule="auto"/>
      <w:ind w:left="0" w:right="0" w:firstLine="0"/>
      <w:jc w:val="left"/>
      <w:textAlignment w:val="baseline"/>
    </w:pPr>
    <w:rPr>
      <w:rFonts w:ascii="맑은 고딕" w:eastAsia="맑은 고딕"/>
      <w:b/>
      <w:color w:val="000000"/>
      <w:kern w:val="1"/>
      <w:sz w:val="20"/>
    </w:rPr>
  </w:style>
  <w:style w:type="paragraph" w:styleId="9">
    <w:name w:val="annotation text"/>
    <w:uiPriority w:val="9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200" w:line="276" w:lineRule="auto"/>
      <w:ind w:left="0" w:right="0" w:firstLine="0"/>
      <w:jc w:val="left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10">
    <w:name w:val="footer"/>
    <w:uiPriority w:val="10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tabs>
        <w:tab w:val="center" w:leader="none" w:pos="4513"/>
        <w:tab w:val="right" w:leader="none" w:pos="9026"/>
      </w:tabs>
      <w:wordWrap w:val="0"/>
      <w:autoSpaceDE w:val="off"/>
      <w:autoSpaceDN w:val="off"/>
      <w:snapToGrid w:val="off"/>
      <w:spacing w:before="0" w:after="200" w:line="27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11">
    <w:name w:val="header"/>
    <w:uiPriority w:val="11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tabs>
        <w:tab w:val="center" w:leader="none" w:pos="4513"/>
        <w:tab w:val="right" w:leader="none" w:pos="9026"/>
      </w:tabs>
      <w:wordWrap w:val="0"/>
      <w:autoSpaceDE w:val="off"/>
      <w:autoSpaceDN w:val="off"/>
      <w:snapToGrid w:val="off"/>
      <w:spacing w:before="0" w:after="200" w:line="27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12">
    <w:name w:val="numbering1"/>
    <w:uiPriority w:val="12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1"/>
      <w:autoSpaceDE w:val="off"/>
      <w:autoSpaceDN w:val="off"/>
      <w:snapToGrid/>
      <w:spacing w:before="0" w:after="200" w:line="240" w:lineRule="auto"/>
      <w:ind w:left="402" w:right="0" w:hanging="402"/>
      <w:jc w:val="both"/>
      <w:textAlignment w:val="baseline"/>
      <w:numPr>
        <w:numId w:val="212"/>
        <w:ilvl w:val="0"/>
      </w:numPr>
    </w:pPr>
    <w:rPr>
      <w:rFonts w:ascii="Times New Roman" w:eastAsia="Arial Unicode MS"/>
      <w:color w:val="000000"/>
      <w:kern w:val="1"/>
      <w:sz w:val="24"/>
      <w:shd w:val="clear" w:color="000000" w:fill="ffffff"/>
    </w:rPr>
  </w:style>
  <w:style w:type="paragraph" w:styleId="13">
    <w:name w:val="numbering2"/>
    <w:uiPriority w:val="13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tabs>
        <w:tab w:val="left" w:leader="none" w:pos="360"/>
      </w:tabs>
      <w:wordWrap w:val="1"/>
      <w:autoSpaceDE w:val="off"/>
      <w:autoSpaceDN w:val="off"/>
      <w:snapToGrid/>
      <w:spacing w:before="0" w:after="200" w:line="240" w:lineRule="auto"/>
      <w:ind w:left="400" w:right="0" w:firstLine="0"/>
      <w:jc w:val="both"/>
      <w:textAlignment w:val="baseline"/>
      <w:numPr>
        <w:numId w:val="213"/>
        <w:ilvl w:val="0"/>
      </w:numPr>
    </w:pPr>
    <w:rPr>
      <w:rFonts w:ascii="Times New Roman" w:eastAsia="Arial Unicode MS"/>
      <w:color w:val="000000"/>
      <w:kern w:val="1"/>
      <w:sz w:val="24"/>
      <w:shd w:val="clear" w:color="000000" w:fill="ffffff"/>
    </w:rPr>
  </w:style>
  <w:style w:type="character" w:styleId="14">
    <w:name w:val="머리글 Char"/>
    <w:uiPriority w:val="14"/>
    <w:rPr>
      <w:rFonts w:ascii="맑은 고딕" w:eastAsia="맑은 고딕"/>
      <w:color w:val="000000"/>
      <w:kern w:val="1"/>
      <w:sz w:val="20"/>
    </w:rPr>
  </w:style>
  <w:style w:type="character" w:styleId="15">
    <w:name w:val="메모 주제 Char"/>
    <w:uiPriority w:val="15"/>
    <w:rPr>
      <w:rFonts w:ascii="맑은 고딕" w:eastAsia="맑은 고딕"/>
      <w:b/>
      <w:color w:val="000000"/>
      <w:kern w:val="1"/>
      <w:sz w:val="20"/>
    </w:rPr>
  </w:style>
  <w:style w:type="character" w:styleId="16">
    <w:name w:val="메모 텍스트 Char"/>
    <w:uiPriority w:val="16"/>
    <w:rPr>
      <w:rFonts w:ascii="맑은 고딕" w:eastAsia="맑은 고딕"/>
      <w:color w:val="000000"/>
      <w:kern w:val="1"/>
      <w:sz w:val="20"/>
    </w:rPr>
  </w:style>
  <w:style w:type="character" w:styleId="17">
    <w:name w:val="바닥글 Char"/>
    <w:uiPriority w:val="17"/>
    <w:rPr>
      <w:rFonts w:ascii="맑은 고딕" w:eastAsia="맑은 고딕"/>
      <w:color w:val="000000"/>
      <w:kern w:val="1"/>
      <w:sz w:val="20"/>
    </w:rPr>
  </w:style>
  <w:style w:type="paragraph" w:styleId="18">
    <w:name w:val="바탕글1"/>
    <w:uiPriority w:val="18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shd w:val="clear" w:color="000000" w:fill="ffffff"/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character" w:styleId="19">
    <w:name w:val="풍선 도움말 텍스트 Char"/>
    <w:uiPriority w:val="19"/>
    <w:rPr>
      <w:rFonts w:ascii="맑은 고딕" w:eastAsia="맑은 고딕"/>
      <w:color w:val="000000"/>
      <w:kern w:val="1"/>
      <w:sz w:val="18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 2010</ep:Application>
  <ep:AppVersion>8.5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yuno</cp:lastModifiedBy>
  <dcterms:created xsi:type="dcterms:W3CDTF">2014-05-22T06:09:00.000</dcterms:created>
  <dcterms:modified xsi:type="dcterms:W3CDTF">2014-05-23T00:26:00.000</dcterms:modified>
</cp:coreProperties>
</file>